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033"/>
        <w:gridCol w:w="5103"/>
      </w:tblGrid>
      <w:tr w:rsidR="00B92022" w:rsidRPr="00C15348">
        <w:trPr>
          <w:cantSplit/>
        </w:trPr>
        <w:tc>
          <w:tcPr>
            <w:tcW w:w="5033" w:type="dxa"/>
          </w:tcPr>
          <w:p w:rsidR="00B92022" w:rsidRPr="00C15348" w:rsidRDefault="00B92022">
            <w:pPr>
              <w:rPr>
                <w:rFonts w:ascii="Arial" w:hAnsi="Arial"/>
                <w:noProof/>
                <w:color w:val="000000" w:themeColor="text1"/>
              </w:rPr>
            </w:pPr>
          </w:p>
          <w:p w:rsidR="00B92022" w:rsidRPr="00C15348" w:rsidRDefault="00B92022">
            <w:pPr>
              <w:rPr>
                <w:rFonts w:ascii="Arial" w:hAnsi="Arial"/>
                <w:noProof/>
                <w:color w:val="000000" w:themeColor="text1"/>
              </w:rPr>
            </w:pPr>
          </w:p>
        </w:tc>
        <w:tc>
          <w:tcPr>
            <w:tcW w:w="5103" w:type="dxa"/>
          </w:tcPr>
          <w:p w:rsidR="00B92022" w:rsidRPr="00C15348" w:rsidRDefault="00386BC7" w:rsidP="00AF5678">
            <w:pPr>
              <w:ind w:left="779"/>
              <w:jc w:val="right"/>
              <w:rPr>
                <w:rFonts w:ascii="Arial" w:hAnsi="Arial"/>
                <w:noProof/>
                <w:color w:val="000000" w:themeColor="text1"/>
              </w:rPr>
            </w:pPr>
            <w:r w:rsidRPr="00386BC7">
              <w:rPr>
                <w:rFonts w:ascii="Arial" w:hAnsi="Arial"/>
                <w:noProof/>
                <w:color w:val="000000" w:themeColor="text1"/>
                <w:lang w:val="en-US"/>
              </w:rPr>
              <w:drawing>
                <wp:inline distT="0" distB="0" distL="0" distR="0">
                  <wp:extent cx="540385" cy="540385"/>
                  <wp:effectExtent l="19050" t="0" r="0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385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F7D8C" w:rsidRDefault="00CF7D8C" w:rsidP="000E262F">
      <w:pPr>
        <w:widowControl/>
        <w:autoSpaceDE w:val="0"/>
        <w:autoSpaceDN w:val="0"/>
        <w:spacing w:after="120"/>
        <w:jc w:val="left"/>
        <w:textAlignment w:val="auto"/>
        <w:rPr>
          <w:rFonts w:ascii="Arial" w:eastAsia="MS Mincho" w:hAnsi="Arial" w:cs="Arial"/>
          <w:color w:val="000000" w:themeColor="text1"/>
          <w:lang w:val="hu-HU" w:eastAsia="ja-JP"/>
        </w:rPr>
      </w:pPr>
      <w:r w:rsidRPr="00C15348">
        <w:rPr>
          <w:rFonts w:ascii="Arial" w:eastAsia="MS Mincho" w:hAnsi="Arial" w:cs="Arial"/>
          <w:color w:val="000000" w:themeColor="text1"/>
          <w:lang w:val="hu-HU" w:eastAsia="ja-JP"/>
        </w:rPr>
        <w:t xml:space="preserve">Tisztelt Ügyfelünk! </w:t>
      </w:r>
    </w:p>
    <w:p w:rsidR="003E4D11" w:rsidRPr="00C15348" w:rsidRDefault="003E4D11" w:rsidP="000E262F">
      <w:pPr>
        <w:widowControl/>
        <w:autoSpaceDE w:val="0"/>
        <w:autoSpaceDN w:val="0"/>
        <w:spacing w:after="120"/>
        <w:jc w:val="left"/>
        <w:textAlignment w:val="auto"/>
        <w:rPr>
          <w:rFonts w:ascii="Arial" w:eastAsia="MS Mincho" w:hAnsi="Arial" w:cs="Arial"/>
          <w:color w:val="000000" w:themeColor="text1"/>
          <w:lang w:val="hu-HU" w:eastAsia="ja-JP"/>
        </w:rPr>
      </w:pPr>
    </w:p>
    <w:p w:rsidR="0029789A" w:rsidRDefault="00286620" w:rsidP="000E262F">
      <w:pPr>
        <w:spacing w:after="120"/>
        <w:ind w:right="-29"/>
        <w:rPr>
          <w:rFonts w:ascii="Arial" w:hAnsi="Arial"/>
          <w:color w:val="000000" w:themeColor="text1"/>
          <w:lang w:val="hu-HU"/>
        </w:rPr>
      </w:pPr>
      <w:r w:rsidRPr="00C15348">
        <w:rPr>
          <w:rFonts w:ascii="Arial" w:hAnsi="Arial"/>
          <w:color w:val="000000" w:themeColor="text1"/>
          <w:lang w:val="hu-HU"/>
        </w:rPr>
        <w:t xml:space="preserve">A Deutsche Bank </w:t>
      </w:r>
      <w:r w:rsidR="00464330" w:rsidRPr="00C15348">
        <w:rPr>
          <w:rFonts w:ascii="Arial" w:hAnsi="Arial"/>
          <w:color w:val="000000" w:themeColor="text1"/>
          <w:lang w:val="hu-HU"/>
        </w:rPr>
        <w:t>AG Magyarországi Fióktelepe</w:t>
      </w:r>
      <w:r w:rsidRPr="00C15348">
        <w:rPr>
          <w:rFonts w:ascii="Arial" w:hAnsi="Arial"/>
          <w:color w:val="000000" w:themeColor="text1"/>
          <w:lang w:val="hu-HU"/>
        </w:rPr>
        <w:t xml:space="preserve"> ezúton tájékoztatja tisztelt ügyfeleit, hogy </w:t>
      </w:r>
      <w:r w:rsidR="00464330" w:rsidRPr="00C15348">
        <w:rPr>
          <w:rFonts w:ascii="Arial" w:hAnsi="Arial"/>
          <w:color w:val="000000" w:themeColor="text1"/>
          <w:lang w:val="hu-HU"/>
        </w:rPr>
        <w:t xml:space="preserve">a Kondíciós Lista Vállalati Ügyfelek </w:t>
      </w:r>
      <w:r w:rsidR="00C15348" w:rsidRPr="00C15348">
        <w:rPr>
          <w:rFonts w:ascii="Arial" w:hAnsi="Arial"/>
          <w:color w:val="000000" w:themeColor="text1"/>
          <w:lang w:val="hu-HU"/>
        </w:rPr>
        <w:t>R</w:t>
      </w:r>
      <w:r w:rsidR="00464330" w:rsidRPr="00C15348">
        <w:rPr>
          <w:rFonts w:ascii="Arial" w:hAnsi="Arial"/>
          <w:color w:val="000000" w:themeColor="text1"/>
          <w:lang w:val="hu-HU"/>
        </w:rPr>
        <w:t xml:space="preserve">észére </w:t>
      </w:r>
      <w:r w:rsidR="009A268B">
        <w:rPr>
          <w:rFonts w:ascii="Arial" w:hAnsi="Arial"/>
          <w:color w:val="000000" w:themeColor="text1"/>
          <w:lang w:val="hu-HU"/>
        </w:rPr>
        <w:t>201</w:t>
      </w:r>
      <w:r w:rsidR="00CC1D80">
        <w:rPr>
          <w:rFonts w:ascii="Arial" w:hAnsi="Arial"/>
          <w:color w:val="000000" w:themeColor="text1"/>
          <w:lang w:val="hu-HU"/>
        </w:rPr>
        <w:t>7</w:t>
      </w:r>
      <w:r w:rsidR="009A268B">
        <w:rPr>
          <w:rFonts w:ascii="Arial" w:hAnsi="Arial"/>
          <w:color w:val="000000" w:themeColor="text1"/>
          <w:lang w:val="hu-HU"/>
        </w:rPr>
        <w:t xml:space="preserve">. </w:t>
      </w:r>
      <w:r w:rsidR="00CC1D80">
        <w:rPr>
          <w:rFonts w:ascii="Arial" w:hAnsi="Arial"/>
          <w:color w:val="000000" w:themeColor="text1"/>
          <w:lang w:val="hu-HU"/>
        </w:rPr>
        <w:t>április</w:t>
      </w:r>
      <w:r w:rsidR="009A268B">
        <w:rPr>
          <w:rFonts w:ascii="Arial" w:hAnsi="Arial"/>
          <w:color w:val="000000" w:themeColor="text1"/>
          <w:lang w:val="hu-HU"/>
        </w:rPr>
        <w:t xml:space="preserve"> 1-jei</w:t>
      </w:r>
      <w:r w:rsidR="00464330" w:rsidRPr="00C15348">
        <w:rPr>
          <w:rFonts w:ascii="Arial" w:hAnsi="Arial"/>
          <w:color w:val="000000" w:themeColor="text1"/>
          <w:lang w:val="hu-HU"/>
        </w:rPr>
        <w:t xml:space="preserve"> hatállyal módosul</w:t>
      </w:r>
      <w:r w:rsidR="00A17F7A">
        <w:rPr>
          <w:rFonts w:ascii="Arial" w:hAnsi="Arial"/>
          <w:color w:val="000000" w:themeColor="text1"/>
          <w:lang w:val="hu-HU"/>
        </w:rPr>
        <w:t xml:space="preserve">. </w:t>
      </w:r>
    </w:p>
    <w:p w:rsidR="00CC1D80" w:rsidRDefault="00CC1D80" w:rsidP="000E262F">
      <w:pPr>
        <w:spacing w:after="120"/>
        <w:ind w:right="-29"/>
        <w:rPr>
          <w:rFonts w:ascii="Arial" w:hAnsi="Arial"/>
          <w:color w:val="000000" w:themeColor="text1"/>
          <w:lang w:val="hu-HU"/>
        </w:rPr>
      </w:pPr>
      <w:r>
        <w:rPr>
          <w:rFonts w:ascii="Arial" w:hAnsi="Arial"/>
          <w:color w:val="000000" w:themeColor="text1"/>
          <w:lang w:val="hu-HU"/>
        </w:rPr>
        <w:t>Bankunk a következő devizanemek esetén a</w:t>
      </w:r>
      <w:r w:rsidR="0029789A">
        <w:rPr>
          <w:rFonts w:ascii="Arial" w:hAnsi="Arial"/>
          <w:color w:val="000000" w:themeColor="text1"/>
          <w:lang w:val="hu-HU"/>
        </w:rPr>
        <w:t xml:space="preserve"> folyamatos</w:t>
      </w:r>
      <w:r>
        <w:rPr>
          <w:rFonts w:ascii="Arial" w:hAnsi="Arial"/>
          <w:color w:val="000000" w:themeColor="text1"/>
          <w:lang w:val="hu-HU"/>
        </w:rPr>
        <w:t xml:space="preserve"> árfolyamjegyzés</w:t>
      </w:r>
      <w:r w:rsidR="0029789A">
        <w:rPr>
          <w:rFonts w:ascii="Arial" w:hAnsi="Arial"/>
          <w:color w:val="000000" w:themeColor="text1"/>
          <w:lang w:val="hu-HU"/>
        </w:rPr>
        <w:t>t</w:t>
      </w:r>
      <w:r>
        <w:rPr>
          <w:rFonts w:ascii="Arial" w:hAnsi="Arial"/>
          <w:color w:val="000000" w:themeColor="text1"/>
          <w:lang w:val="hu-HU"/>
        </w:rPr>
        <w:t xml:space="preserve"> megszün</w:t>
      </w:r>
      <w:r w:rsidR="0029789A">
        <w:rPr>
          <w:rFonts w:ascii="Arial" w:hAnsi="Arial"/>
          <w:color w:val="000000" w:themeColor="text1"/>
          <w:lang w:val="hu-HU"/>
        </w:rPr>
        <w:t>teti</w:t>
      </w:r>
      <w:r>
        <w:rPr>
          <w:rFonts w:ascii="Arial" w:hAnsi="Arial"/>
          <w:color w:val="000000" w:themeColor="text1"/>
          <w:lang w:val="hu-HU"/>
        </w:rPr>
        <w:t>: MXN, SAR, ILS, ZAR, NZD.</w:t>
      </w:r>
      <w:r w:rsidR="0029789A">
        <w:rPr>
          <w:rFonts w:ascii="Arial" w:hAnsi="Arial"/>
          <w:color w:val="000000" w:themeColor="text1"/>
          <w:lang w:val="hu-HU"/>
        </w:rPr>
        <w:t xml:space="preserve"> N</w:t>
      </w:r>
      <w:r>
        <w:rPr>
          <w:rFonts w:ascii="Arial" w:hAnsi="Arial"/>
          <w:color w:val="000000" w:themeColor="text1"/>
          <w:lang w:val="hu-HU"/>
        </w:rPr>
        <w:t>api fixing árfolyamai</w:t>
      </w:r>
      <w:r w:rsidR="0029789A">
        <w:rPr>
          <w:rFonts w:ascii="Arial" w:hAnsi="Arial"/>
          <w:color w:val="000000" w:themeColor="text1"/>
          <w:lang w:val="hu-HU"/>
        </w:rPr>
        <w:t>nk</w:t>
      </w:r>
      <w:r>
        <w:rPr>
          <w:rFonts w:ascii="Arial" w:hAnsi="Arial"/>
          <w:color w:val="000000" w:themeColor="text1"/>
          <w:lang w:val="hu-HU"/>
        </w:rPr>
        <w:t xml:space="preserve"> honlapunkon (</w:t>
      </w:r>
      <w:hyperlink r:id="rId8" w:history="1">
        <w:r w:rsidRPr="00E051DA">
          <w:rPr>
            <w:rStyle w:val="Hyperlink"/>
            <w:rFonts w:ascii="Arial" w:hAnsi="Arial"/>
            <w:lang w:val="hu-HU"/>
          </w:rPr>
          <w:t>www.db.com/hungary</w:t>
        </w:r>
      </w:hyperlink>
      <w:r>
        <w:rPr>
          <w:rFonts w:ascii="Arial" w:hAnsi="Arial"/>
          <w:color w:val="000000" w:themeColor="text1"/>
          <w:lang w:val="hu-HU"/>
        </w:rPr>
        <w:t>), valamint elektronikus banki rendszerünkön keresztül (db-direct@internet) elérhetők.</w:t>
      </w:r>
    </w:p>
    <w:p w:rsidR="00A56FD1" w:rsidRPr="00D22CE0" w:rsidRDefault="00D67A98" w:rsidP="00D22CE0">
      <w:pPr>
        <w:pStyle w:val="ISOText"/>
        <w:spacing w:before="60" w:after="120" w:line="360" w:lineRule="atLeast"/>
        <w:rPr>
          <w:rFonts w:cs="Arial"/>
          <w:sz w:val="20"/>
          <w:lang w:val="hu-HU"/>
        </w:rPr>
      </w:pPr>
      <w:r w:rsidRPr="00D22CE0">
        <w:rPr>
          <w:color w:val="000000" w:themeColor="text1"/>
          <w:sz w:val="20"/>
          <w:lang w:val="hu-HU"/>
        </w:rPr>
        <w:t>A Deutsche Bank AG Magyarországi Fióktelepe</w:t>
      </w:r>
      <w:r w:rsidR="001D277B" w:rsidRPr="00D22CE0">
        <w:rPr>
          <w:color w:val="000000" w:themeColor="text1"/>
          <w:sz w:val="20"/>
          <w:lang w:val="hu-HU"/>
        </w:rPr>
        <w:t xml:space="preserve"> 2017. április 1-jétől 4. fixinget vezet be. </w:t>
      </w:r>
      <w:r w:rsidR="00A56FD1" w:rsidRPr="00D22CE0">
        <w:rPr>
          <w:rFonts w:cs="Arial"/>
          <w:sz w:val="20"/>
          <w:lang w:val="hu-HU"/>
        </w:rPr>
        <w:t>Amennyiben az (előírásszerűen benyújtott) megbízás összege nem éri el a 100 000 EUR-t (ill. ennek ellenértéké</w:t>
      </w:r>
      <w:r w:rsidR="00A17F7A">
        <w:rPr>
          <w:rFonts w:cs="Arial"/>
          <w:sz w:val="20"/>
          <w:lang w:val="hu-HU"/>
        </w:rPr>
        <w:t>t</w:t>
      </w:r>
      <w:r w:rsidR="00A56FD1" w:rsidRPr="00D22CE0">
        <w:rPr>
          <w:rFonts w:cs="Arial"/>
          <w:sz w:val="20"/>
          <w:lang w:val="hu-HU"/>
        </w:rPr>
        <w:t xml:space="preserve">) és a Bankba a végrehajtás napján </w:t>
      </w:r>
    </w:p>
    <w:p w:rsidR="00A56FD1" w:rsidRPr="00D22CE0" w:rsidRDefault="00A56FD1" w:rsidP="00A56FD1">
      <w:pPr>
        <w:pStyle w:val="ISOText"/>
        <w:spacing w:before="60"/>
        <w:rPr>
          <w:rFonts w:cs="Arial"/>
          <w:sz w:val="20"/>
          <w:lang w:val="hu-HU"/>
        </w:rPr>
      </w:pPr>
      <w:r w:rsidRPr="00D22CE0">
        <w:rPr>
          <w:rFonts w:cs="Arial"/>
          <w:sz w:val="20"/>
          <w:lang w:val="hu-HU"/>
        </w:rPr>
        <w:t xml:space="preserve">- 11:30-ig beérkezik, a Bank 2. fixing árfolyamán, </w:t>
      </w:r>
    </w:p>
    <w:p w:rsidR="00A56FD1" w:rsidRPr="00D22CE0" w:rsidRDefault="00A56FD1" w:rsidP="00A56FD1">
      <w:pPr>
        <w:pStyle w:val="ISOText"/>
        <w:spacing w:before="60"/>
        <w:rPr>
          <w:rFonts w:cs="Arial"/>
          <w:sz w:val="20"/>
          <w:lang w:val="hu-HU"/>
        </w:rPr>
      </w:pPr>
      <w:r w:rsidRPr="00D22CE0">
        <w:rPr>
          <w:rFonts w:cs="Arial"/>
          <w:sz w:val="20"/>
          <w:lang w:val="hu-HU"/>
        </w:rPr>
        <w:t xml:space="preserve">- 11:30 és 15:30 között beérkezik, a Bank 3. fixing árfolyamán </w:t>
      </w:r>
    </w:p>
    <w:p w:rsidR="001D277B" w:rsidRPr="00A17F7A" w:rsidRDefault="00A56FD1" w:rsidP="00A56FD1">
      <w:pPr>
        <w:spacing w:after="120"/>
        <w:ind w:right="-29"/>
        <w:rPr>
          <w:rFonts w:ascii="Arial" w:hAnsi="Arial" w:cs="Arial"/>
          <w:color w:val="000000" w:themeColor="text1"/>
          <w:lang w:val="hu-HU"/>
        </w:rPr>
      </w:pPr>
      <w:r w:rsidRPr="00D22CE0">
        <w:rPr>
          <w:rFonts w:ascii="Arial" w:hAnsi="Arial" w:cs="Arial"/>
          <w:lang w:val="hu-HU"/>
        </w:rPr>
        <w:t>- 15:30 és 17:00 között beérkezik, a Bank 4. fixing árfolyamán történik a konverzió.</w:t>
      </w:r>
    </w:p>
    <w:p w:rsidR="00D67A98" w:rsidRDefault="00D67A98" w:rsidP="000E262F">
      <w:pPr>
        <w:spacing w:after="120"/>
        <w:ind w:right="-29"/>
        <w:rPr>
          <w:rFonts w:ascii="Arial" w:hAnsi="Arial"/>
          <w:color w:val="000000" w:themeColor="text1"/>
          <w:lang w:val="hu-HU"/>
        </w:rPr>
      </w:pPr>
      <w:r>
        <w:rPr>
          <w:rFonts w:ascii="Arial" w:hAnsi="Arial"/>
          <w:color w:val="000000" w:themeColor="text1"/>
          <w:lang w:val="hu-HU"/>
        </w:rPr>
        <w:t>Elektronikus úton kezdeményezett, sürgős nemzetközi HUF utalások esetén 2017. április 1-jétől a kezdeményezés értéknapjával megegyező értéknappal továbbítjuk a kedvezményezett bank részére az átutalásra került összeget.</w:t>
      </w:r>
      <w:r w:rsidR="00A84E56">
        <w:rPr>
          <w:rFonts w:ascii="Arial" w:hAnsi="Arial"/>
          <w:color w:val="000000" w:themeColor="text1"/>
          <w:lang w:val="hu-HU"/>
        </w:rPr>
        <w:t xml:space="preserve"> </w:t>
      </w:r>
      <w:r w:rsidR="00A84E56" w:rsidRPr="00D22CE0">
        <w:rPr>
          <w:rFonts w:ascii="Arial" w:hAnsi="Arial" w:cs="Arial"/>
          <w:lang w:val="hu-HU"/>
        </w:rPr>
        <w:t>A kedvezményezett bankja által a kedvezményezett bankszámláján történő jóváírás időpontját a kedvezményezett bankjának feldolgozási rendje határozza meg.</w:t>
      </w:r>
    </w:p>
    <w:p w:rsidR="00CC1D80" w:rsidRDefault="00A17F7A" w:rsidP="000E262F">
      <w:pPr>
        <w:spacing w:after="120"/>
        <w:ind w:right="-29"/>
        <w:rPr>
          <w:rFonts w:ascii="Arial" w:hAnsi="Arial"/>
          <w:color w:val="000000" w:themeColor="text1"/>
          <w:lang w:val="hu-HU"/>
        </w:rPr>
      </w:pPr>
      <w:r>
        <w:rPr>
          <w:rFonts w:ascii="Arial" w:hAnsi="Arial"/>
          <w:color w:val="000000" w:themeColor="text1"/>
          <w:lang w:val="hu-HU"/>
        </w:rPr>
        <w:t>A pénztári v</w:t>
      </w:r>
      <w:r w:rsidR="00CC1D80">
        <w:rPr>
          <w:rFonts w:ascii="Arial" w:hAnsi="Arial"/>
          <w:color w:val="000000" w:themeColor="text1"/>
          <w:lang w:val="hu-HU"/>
        </w:rPr>
        <w:t>alutaváltási tev</w:t>
      </w:r>
      <w:r w:rsidR="00291889">
        <w:rPr>
          <w:rFonts w:ascii="Arial" w:hAnsi="Arial"/>
          <w:color w:val="000000" w:themeColor="text1"/>
          <w:lang w:val="hu-HU"/>
        </w:rPr>
        <w:t>ékenység a következő valutane</w:t>
      </w:r>
      <w:r w:rsidR="00CC1D80">
        <w:rPr>
          <w:rFonts w:ascii="Arial" w:hAnsi="Arial"/>
          <w:color w:val="000000" w:themeColor="text1"/>
          <w:lang w:val="hu-HU"/>
        </w:rPr>
        <w:t>m</w:t>
      </w:r>
      <w:r w:rsidR="00291889">
        <w:rPr>
          <w:rFonts w:ascii="Arial" w:hAnsi="Arial"/>
          <w:color w:val="000000" w:themeColor="text1"/>
          <w:lang w:val="hu-HU"/>
        </w:rPr>
        <w:t>ek</w:t>
      </w:r>
      <w:r w:rsidR="00CC1D80">
        <w:rPr>
          <w:rFonts w:ascii="Arial" w:hAnsi="Arial"/>
          <w:color w:val="000000" w:themeColor="text1"/>
          <w:lang w:val="hu-HU"/>
        </w:rPr>
        <w:t>ben megsz</w:t>
      </w:r>
      <w:r>
        <w:rPr>
          <w:rFonts w:ascii="Arial" w:hAnsi="Arial"/>
          <w:color w:val="000000" w:themeColor="text1"/>
          <w:lang w:val="hu-HU"/>
        </w:rPr>
        <w:t>ü</w:t>
      </w:r>
      <w:r w:rsidR="00CC1D80">
        <w:rPr>
          <w:rFonts w:ascii="Arial" w:hAnsi="Arial"/>
          <w:color w:val="000000" w:themeColor="text1"/>
          <w:lang w:val="hu-HU"/>
        </w:rPr>
        <w:t xml:space="preserve">ntetésre </w:t>
      </w:r>
      <w:r>
        <w:rPr>
          <w:rFonts w:ascii="Arial" w:hAnsi="Arial"/>
          <w:color w:val="000000" w:themeColor="text1"/>
          <w:lang w:val="hu-HU"/>
        </w:rPr>
        <w:t xml:space="preserve">kerül </w:t>
      </w:r>
      <w:r w:rsidR="00CC1D80">
        <w:rPr>
          <w:rFonts w:ascii="Arial" w:hAnsi="Arial"/>
          <w:color w:val="000000" w:themeColor="text1"/>
          <w:lang w:val="hu-HU"/>
        </w:rPr>
        <w:t>2017. április 1-jei hatállyal: DKK, AUD, CAD, PLN, SEK és CZK.</w:t>
      </w:r>
    </w:p>
    <w:p w:rsidR="00286620" w:rsidRPr="00C15348" w:rsidRDefault="00286620" w:rsidP="000E262F">
      <w:pPr>
        <w:spacing w:after="120"/>
        <w:ind w:right="-29"/>
        <w:rPr>
          <w:rFonts w:ascii="Arial" w:hAnsi="Arial"/>
          <w:color w:val="000000" w:themeColor="text1"/>
          <w:lang w:val="hu-HU"/>
        </w:rPr>
      </w:pPr>
      <w:r w:rsidRPr="00C15348">
        <w:rPr>
          <w:rFonts w:ascii="Arial" w:hAnsi="Arial"/>
          <w:color w:val="000000" w:themeColor="text1"/>
          <w:lang w:val="hu-HU"/>
        </w:rPr>
        <w:t xml:space="preserve">Az egységes szerkezetbe foglalt </w:t>
      </w:r>
      <w:r w:rsidR="00464330" w:rsidRPr="00C15348">
        <w:rPr>
          <w:rFonts w:ascii="Arial" w:hAnsi="Arial"/>
          <w:color w:val="000000" w:themeColor="text1"/>
          <w:lang w:val="hu-HU"/>
        </w:rPr>
        <w:t xml:space="preserve">Kondíciós Lista Vállalati Ügyfelek </w:t>
      </w:r>
      <w:r w:rsidR="00B67F1B">
        <w:rPr>
          <w:rFonts w:ascii="Arial" w:hAnsi="Arial"/>
          <w:color w:val="000000" w:themeColor="text1"/>
          <w:lang w:val="hu-HU"/>
        </w:rPr>
        <w:t>R</w:t>
      </w:r>
      <w:r w:rsidR="00464330" w:rsidRPr="00C15348">
        <w:rPr>
          <w:rFonts w:ascii="Arial" w:hAnsi="Arial"/>
          <w:color w:val="000000" w:themeColor="text1"/>
          <w:lang w:val="hu-HU"/>
        </w:rPr>
        <w:t>észére</w:t>
      </w:r>
      <w:r w:rsidRPr="00C15348">
        <w:rPr>
          <w:rFonts w:ascii="Arial" w:hAnsi="Arial"/>
          <w:color w:val="000000" w:themeColor="text1"/>
          <w:lang w:val="hu-HU"/>
        </w:rPr>
        <w:t xml:space="preserve"> megtekinthető a Bank pénztárhelyiségében</w:t>
      </w:r>
      <w:r w:rsidR="00B41A59">
        <w:rPr>
          <w:rFonts w:ascii="Arial" w:hAnsi="Arial"/>
          <w:color w:val="000000" w:themeColor="text1"/>
          <w:lang w:val="hu-HU"/>
        </w:rPr>
        <w:t>, valamint a Bank honlapján</w:t>
      </w:r>
      <w:r w:rsidRPr="00C15348">
        <w:rPr>
          <w:rFonts w:ascii="Arial" w:hAnsi="Arial"/>
          <w:color w:val="000000" w:themeColor="text1"/>
          <w:lang w:val="hu-HU"/>
        </w:rPr>
        <w:t xml:space="preserve">. </w:t>
      </w:r>
    </w:p>
    <w:p w:rsidR="003E4D11" w:rsidRDefault="003E4D11" w:rsidP="000E262F">
      <w:pPr>
        <w:widowControl/>
        <w:autoSpaceDE w:val="0"/>
        <w:autoSpaceDN w:val="0"/>
        <w:spacing w:after="120"/>
        <w:jc w:val="left"/>
        <w:textAlignment w:val="auto"/>
        <w:rPr>
          <w:rFonts w:ascii="Arial" w:eastAsia="MS Mincho" w:hAnsi="Arial" w:cs="Arial"/>
          <w:color w:val="000000" w:themeColor="text1"/>
          <w:lang w:val="hu-HU" w:eastAsia="ja-JP"/>
        </w:rPr>
      </w:pPr>
    </w:p>
    <w:p w:rsidR="00CF7D8C" w:rsidRPr="00C15348" w:rsidRDefault="00CF7D8C" w:rsidP="000E262F">
      <w:pPr>
        <w:widowControl/>
        <w:autoSpaceDE w:val="0"/>
        <w:autoSpaceDN w:val="0"/>
        <w:spacing w:after="120"/>
        <w:jc w:val="left"/>
        <w:textAlignment w:val="auto"/>
        <w:rPr>
          <w:rFonts w:ascii="Arial" w:eastAsia="MS Mincho" w:hAnsi="Arial" w:cs="Arial"/>
          <w:color w:val="000000" w:themeColor="text1"/>
          <w:lang w:val="hu-HU" w:eastAsia="ja-JP"/>
        </w:rPr>
      </w:pPr>
      <w:r w:rsidRPr="00C15348">
        <w:rPr>
          <w:rFonts w:ascii="Arial" w:eastAsia="MS Mincho" w:hAnsi="Arial" w:cs="Arial"/>
          <w:color w:val="000000" w:themeColor="text1"/>
          <w:lang w:val="hu-HU" w:eastAsia="ja-JP"/>
        </w:rPr>
        <w:t>Budapest, 20</w:t>
      </w:r>
      <w:r w:rsidR="00256B19" w:rsidRPr="00C15348">
        <w:rPr>
          <w:rFonts w:ascii="Arial" w:eastAsia="MS Mincho" w:hAnsi="Arial" w:cs="Arial"/>
          <w:color w:val="000000" w:themeColor="text1"/>
          <w:lang w:val="hu-HU" w:eastAsia="ja-JP"/>
        </w:rPr>
        <w:t>1</w:t>
      </w:r>
      <w:r w:rsidR="00291889">
        <w:rPr>
          <w:rFonts w:ascii="Arial" w:eastAsia="MS Mincho" w:hAnsi="Arial" w:cs="Arial"/>
          <w:color w:val="000000" w:themeColor="text1"/>
          <w:lang w:val="hu-HU" w:eastAsia="ja-JP"/>
        </w:rPr>
        <w:t>7</w:t>
      </w:r>
      <w:r w:rsidRPr="00C15348">
        <w:rPr>
          <w:rFonts w:ascii="Arial" w:eastAsia="MS Mincho" w:hAnsi="Arial" w:cs="Arial"/>
          <w:color w:val="000000" w:themeColor="text1"/>
          <w:lang w:val="hu-HU" w:eastAsia="ja-JP"/>
        </w:rPr>
        <w:t xml:space="preserve">. </w:t>
      </w:r>
      <w:r w:rsidR="00291889">
        <w:rPr>
          <w:rFonts w:ascii="Arial" w:eastAsia="MS Mincho" w:hAnsi="Arial" w:cs="Arial"/>
          <w:color w:val="000000" w:themeColor="text1"/>
          <w:lang w:val="hu-HU" w:eastAsia="ja-JP"/>
        </w:rPr>
        <w:t>március</w:t>
      </w:r>
      <w:r w:rsidR="009A268B">
        <w:rPr>
          <w:rFonts w:ascii="Arial" w:eastAsia="MS Mincho" w:hAnsi="Arial" w:cs="Arial"/>
          <w:color w:val="000000" w:themeColor="text1"/>
          <w:lang w:val="hu-HU" w:eastAsia="ja-JP"/>
        </w:rPr>
        <w:t xml:space="preserve"> 1</w:t>
      </w:r>
      <w:r w:rsidR="00386BC7">
        <w:rPr>
          <w:rFonts w:ascii="Arial" w:eastAsia="MS Mincho" w:hAnsi="Arial" w:cs="Arial"/>
          <w:color w:val="000000" w:themeColor="text1"/>
          <w:lang w:val="hu-HU" w:eastAsia="ja-JP"/>
        </w:rPr>
        <w:t>.</w:t>
      </w:r>
    </w:p>
    <w:p w:rsidR="00487158" w:rsidRDefault="00487158" w:rsidP="00487158">
      <w:pPr>
        <w:widowControl/>
        <w:autoSpaceDE w:val="0"/>
        <w:autoSpaceDN w:val="0"/>
        <w:spacing w:after="120"/>
        <w:jc w:val="left"/>
        <w:textAlignment w:val="auto"/>
        <w:rPr>
          <w:rFonts w:ascii="Arial" w:eastAsia="MS Mincho" w:hAnsi="Arial" w:cs="Arial"/>
          <w:color w:val="000000" w:themeColor="text1"/>
          <w:lang w:val="hu-HU" w:eastAsia="ja-JP"/>
        </w:rPr>
      </w:pPr>
    </w:p>
    <w:p w:rsidR="00487158" w:rsidRDefault="00CF7D8C" w:rsidP="00487158">
      <w:pPr>
        <w:widowControl/>
        <w:autoSpaceDE w:val="0"/>
        <w:autoSpaceDN w:val="0"/>
        <w:spacing w:after="120"/>
        <w:jc w:val="left"/>
        <w:textAlignment w:val="auto"/>
        <w:rPr>
          <w:rFonts w:ascii="Arial" w:eastAsia="MS Mincho" w:hAnsi="Arial" w:cs="Arial"/>
          <w:color w:val="000000" w:themeColor="text1"/>
          <w:lang w:val="hu-HU" w:eastAsia="ja-JP"/>
        </w:rPr>
      </w:pPr>
      <w:r w:rsidRPr="00C15348">
        <w:rPr>
          <w:rFonts w:ascii="Arial" w:eastAsia="MS Mincho" w:hAnsi="Arial" w:cs="Arial"/>
          <w:color w:val="000000" w:themeColor="text1"/>
          <w:lang w:val="hu-HU" w:eastAsia="ja-JP"/>
        </w:rPr>
        <w:t xml:space="preserve">Üdvözlettel: </w:t>
      </w:r>
    </w:p>
    <w:p w:rsidR="00487158" w:rsidRDefault="00487158" w:rsidP="00487158">
      <w:pPr>
        <w:widowControl/>
        <w:autoSpaceDE w:val="0"/>
        <w:autoSpaceDN w:val="0"/>
        <w:spacing w:after="120"/>
        <w:jc w:val="left"/>
        <w:textAlignment w:val="auto"/>
        <w:rPr>
          <w:rFonts w:ascii="Arial" w:eastAsia="MS Mincho" w:hAnsi="Arial" w:cs="Arial"/>
          <w:color w:val="000000" w:themeColor="text1"/>
          <w:lang w:val="hu-HU" w:eastAsia="ja-JP"/>
        </w:rPr>
      </w:pPr>
      <w:r>
        <w:rPr>
          <w:rFonts w:ascii="Arial" w:eastAsia="MS Mincho" w:hAnsi="Arial" w:cs="Arial"/>
          <w:color w:val="000000" w:themeColor="text1"/>
          <w:lang w:val="hu-HU" w:eastAsia="ja-JP"/>
        </w:rPr>
        <w:t>Deutsche Bank AG Magyarországi Fióktelepe</w:t>
      </w:r>
    </w:p>
    <w:p w:rsidR="00A84E56" w:rsidRDefault="00A84E56">
      <w:pPr>
        <w:widowControl/>
        <w:adjustRightInd/>
        <w:spacing w:line="240" w:lineRule="auto"/>
        <w:jc w:val="left"/>
        <w:textAlignment w:val="auto"/>
        <w:rPr>
          <w:rFonts w:ascii="Arial" w:eastAsia="MS Mincho" w:hAnsi="Arial" w:cs="Arial"/>
          <w:color w:val="000000" w:themeColor="text1"/>
          <w:lang w:eastAsia="ja-JP"/>
        </w:rPr>
      </w:pPr>
      <w:r>
        <w:rPr>
          <w:rFonts w:ascii="Arial" w:eastAsia="MS Mincho" w:hAnsi="Arial" w:cs="Arial"/>
          <w:color w:val="000000" w:themeColor="text1"/>
          <w:lang w:eastAsia="ja-JP"/>
        </w:rPr>
        <w:br w:type="page"/>
      </w:r>
    </w:p>
    <w:p w:rsidR="00CF7D8C" w:rsidRPr="00386BC7" w:rsidRDefault="00CF7D8C" w:rsidP="00CF7D8C">
      <w:pPr>
        <w:widowControl/>
        <w:autoSpaceDE w:val="0"/>
        <w:autoSpaceDN w:val="0"/>
        <w:spacing w:after="240" w:line="240" w:lineRule="auto"/>
        <w:jc w:val="left"/>
        <w:textAlignment w:val="auto"/>
        <w:rPr>
          <w:rFonts w:ascii="Arial" w:eastAsia="MS Mincho" w:hAnsi="Arial" w:cs="Arial"/>
          <w:color w:val="000000" w:themeColor="text1"/>
          <w:lang w:eastAsia="ja-JP"/>
        </w:rPr>
      </w:pPr>
      <w:r w:rsidRPr="00386BC7">
        <w:rPr>
          <w:rFonts w:ascii="Arial" w:eastAsia="MS Mincho" w:hAnsi="Arial" w:cs="Arial"/>
          <w:color w:val="000000" w:themeColor="text1"/>
          <w:lang w:eastAsia="ja-JP"/>
        </w:rPr>
        <w:lastRenderedPageBreak/>
        <w:t xml:space="preserve">Dear Client, </w:t>
      </w:r>
    </w:p>
    <w:p w:rsidR="003E4D11" w:rsidRDefault="003E4D11" w:rsidP="00286620">
      <w:pPr>
        <w:spacing w:after="120"/>
        <w:ind w:right="380"/>
        <w:rPr>
          <w:rFonts w:ascii="Arial" w:hAnsi="Arial" w:cs="Arial"/>
          <w:color w:val="000000" w:themeColor="text1"/>
        </w:rPr>
      </w:pPr>
    </w:p>
    <w:p w:rsidR="0029789A" w:rsidRDefault="00286620" w:rsidP="00286620">
      <w:pPr>
        <w:spacing w:after="120"/>
        <w:ind w:right="380"/>
        <w:rPr>
          <w:rFonts w:ascii="Arial" w:hAnsi="Arial" w:cs="Arial"/>
          <w:color w:val="000000" w:themeColor="text1"/>
        </w:rPr>
      </w:pPr>
      <w:r w:rsidRPr="00386BC7">
        <w:rPr>
          <w:rFonts w:ascii="Arial" w:hAnsi="Arial" w:cs="Arial"/>
          <w:color w:val="000000" w:themeColor="text1"/>
        </w:rPr>
        <w:t xml:space="preserve">Deutsche Bank </w:t>
      </w:r>
      <w:r w:rsidR="00096BA9" w:rsidRPr="00386BC7">
        <w:rPr>
          <w:rFonts w:ascii="Arial" w:hAnsi="Arial" w:cs="Arial"/>
          <w:color w:val="000000" w:themeColor="text1"/>
        </w:rPr>
        <w:t xml:space="preserve">AG Hungary Branch hereby informs its clients </w:t>
      </w:r>
      <w:r w:rsidRPr="00386BC7">
        <w:rPr>
          <w:rFonts w:ascii="Arial" w:hAnsi="Arial" w:cs="Arial"/>
          <w:color w:val="000000" w:themeColor="text1"/>
        </w:rPr>
        <w:t xml:space="preserve">that </w:t>
      </w:r>
      <w:r w:rsidR="00096BA9" w:rsidRPr="00386BC7">
        <w:rPr>
          <w:rFonts w:ascii="Arial" w:hAnsi="Arial" w:cs="Arial"/>
          <w:color w:val="000000" w:themeColor="text1"/>
        </w:rPr>
        <w:t>the List of Terms and Conditions for Corporate Banking will be am</w:t>
      </w:r>
      <w:r w:rsidR="00A443CE" w:rsidRPr="00386BC7">
        <w:rPr>
          <w:rFonts w:ascii="Arial" w:hAnsi="Arial" w:cs="Arial"/>
          <w:color w:val="000000" w:themeColor="text1"/>
        </w:rPr>
        <w:t>e</w:t>
      </w:r>
      <w:r w:rsidR="00096BA9" w:rsidRPr="00386BC7">
        <w:rPr>
          <w:rFonts w:ascii="Arial" w:hAnsi="Arial" w:cs="Arial"/>
          <w:color w:val="000000" w:themeColor="text1"/>
        </w:rPr>
        <w:t xml:space="preserve">nded with effect </w:t>
      </w:r>
      <w:r w:rsidR="00B22D67">
        <w:rPr>
          <w:rFonts w:ascii="Arial" w:hAnsi="Arial" w:cs="Arial"/>
          <w:color w:val="000000" w:themeColor="text1"/>
        </w:rPr>
        <w:t>1</w:t>
      </w:r>
      <w:r w:rsidR="00B22D67" w:rsidRPr="00B22D67">
        <w:rPr>
          <w:rFonts w:ascii="Arial" w:hAnsi="Arial" w:cs="Arial"/>
          <w:color w:val="000000" w:themeColor="text1"/>
          <w:vertAlign w:val="superscript"/>
        </w:rPr>
        <w:t>st</w:t>
      </w:r>
      <w:r w:rsidR="00B22D67">
        <w:rPr>
          <w:rFonts w:ascii="Arial" w:hAnsi="Arial" w:cs="Arial"/>
          <w:color w:val="000000" w:themeColor="text1"/>
        </w:rPr>
        <w:t xml:space="preserve"> of</w:t>
      </w:r>
      <w:r w:rsidR="00096BA9" w:rsidRPr="00386BC7">
        <w:rPr>
          <w:rFonts w:ascii="Arial" w:hAnsi="Arial" w:cs="Arial"/>
          <w:color w:val="000000" w:themeColor="text1"/>
        </w:rPr>
        <w:t xml:space="preserve"> </w:t>
      </w:r>
      <w:r w:rsidR="00291889">
        <w:rPr>
          <w:rFonts w:ascii="Arial" w:hAnsi="Arial" w:cs="Arial"/>
          <w:color w:val="000000" w:themeColor="text1"/>
        </w:rPr>
        <w:t>April</w:t>
      </w:r>
      <w:r w:rsidR="00DC1E09" w:rsidRPr="00386BC7">
        <w:rPr>
          <w:rFonts w:ascii="Arial" w:hAnsi="Arial" w:cs="Arial"/>
          <w:color w:val="000000" w:themeColor="text1"/>
        </w:rPr>
        <w:t>,</w:t>
      </w:r>
      <w:r w:rsidR="00386BC7" w:rsidRPr="00386BC7">
        <w:rPr>
          <w:rFonts w:ascii="Arial" w:hAnsi="Arial" w:cs="Arial"/>
          <w:color w:val="000000" w:themeColor="text1"/>
        </w:rPr>
        <w:t xml:space="preserve"> 201</w:t>
      </w:r>
      <w:r w:rsidR="00291889">
        <w:rPr>
          <w:rFonts w:ascii="Arial" w:hAnsi="Arial" w:cs="Arial"/>
          <w:color w:val="000000" w:themeColor="text1"/>
        </w:rPr>
        <w:t>7</w:t>
      </w:r>
      <w:r w:rsidR="0029789A">
        <w:rPr>
          <w:rFonts w:ascii="Arial" w:hAnsi="Arial" w:cs="Arial"/>
          <w:color w:val="000000" w:themeColor="text1"/>
        </w:rPr>
        <w:t xml:space="preserve">. </w:t>
      </w:r>
    </w:p>
    <w:p w:rsidR="0029789A" w:rsidRDefault="0029789A" w:rsidP="0029789A">
      <w:pPr>
        <w:spacing w:after="120"/>
        <w:ind w:right="38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Our Bank terminates</w:t>
      </w:r>
      <w:r w:rsidR="005F0012">
        <w:rPr>
          <w:rFonts w:ascii="Arial" w:hAnsi="Arial" w:cs="Arial"/>
          <w:color w:val="000000" w:themeColor="text1"/>
        </w:rPr>
        <w:t xml:space="preserve"> continuous foreign exchange rate quotation </w:t>
      </w:r>
      <w:r w:rsidR="007C06E5">
        <w:rPr>
          <w:rFonts w:ascii="Arial" w:hAnsi="Arial" w:cs="Arial"/>
          <w:color w:val="000000" w:themeColor="text1"/>
        </w:rPr>
        <w:t>i</w:t>
      </w:r>
      <w:r w:rsidR="005F0012">
        <w:rPr>
          <w:rFonts w:ascii="Arial" w:hAnsi="Arial" w:cs="Arial"/>
          <w:color w:val="000000" w:themeColor="text1"/>
        </w:rPr>
        <w:t xml:space="preserve">n case of the </w:t>
      </w:r>
      <w:r w:rsidR="007C06E5">
        <w:rPr>
          <w:rFonts w:ascii="Arial" w:hAnsi="Arial" w:cs="Arial"/>
          <w:color w:val="000000" w:themeColor="text1"/>
        </w:rPr>
        <w:t>following foreign currencies</w:t>
      </w:r>
      <w:r w:rsidR="005F0012">
        <w:rPr>
          <w:rFonts w:ascii="Arial" w:hAnsi="Arial" w:cs="Arial"/>
          <w:color w:val="000000" w:themeColor="text1"/>
        </w:rPr>
        <w:t>:</w:t>
      </w:r>
      <w:r w:rsidR="005F0012" w:rsidRPr="005F0012">
        <w:rPr>
          <w:rFonts w:ascii="Arial" w:hAnsi="Arial"/>
          <w:color w:val="000000" w:themeColor="text1"/>
          <w:lang w:val="hu-HU"/>
        </w:rPr>
        <w:t xml:space="preserve"> </w:t>
      </w:r>
      <w:r w:rsidR="005F0012">
        <w:rPr>
          <w:rFonts w:ascii="Arial" w:hAnsi="Arial"/>
          <w:color w:val="000000" w:themeColor="text1"/>
          <w:lang w:val="hu-HU"/>
        </w:rPr>
        <w:t>MXN, SAR, ILS, ZAR, NZD</w:t>
      </w:r>
      <w:r w:rsidR="00DF3112">
        <w:rPr>
          <w:rFonts w:ascii="Arial" w:hAnsi="Arial"/>
          <w:color w:val="000000" w:themeColor="text1"/>
          <w:lang w:val="hu-HU"/>
        </w:rPr>
        <w:t>.</w:t>
      </w:r>
      <w:r>
        <w:rPr>
          <w:rFonts w:ascii="Arial" w:hAnsi="Arial" w:cs="Arial"/>
          <w:color w:val="000000" w:themeColor="text1"/>
        </w:rPr>
        <w:t xml:space="preserve"> We </w:t>
      </w:r>
      <w:r w:rsidR="00844CAD">
        <w:rPr>
          <w:rFonts w:ascii="Arial" w:hAnsi="Arial" w:cs="Arial"/>
          <w:color w:val="000000" w:themeColor="text1"/>
        </w:rPr>
        <w:t>publish</w:t>
      </w:r>
      <w:bookmarkStart w:id="0" w:name="_GoBack"/>
      <w:bookmarkEnd w:id="0"/>
      <w:r w:rsidR="00B22D67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our</w:t>
      </w:r>
      <w:r w:rsidR="00B22D67">
        <w:rPr>
          <w:rFonts w:ascii="Arial" w:hAnsi="Arial" w:cs="Arial"/>
          <w:color w:val="000000" w:themeColor="text1"/>
        </w:rPr>
        <w:t xml:space="preserve"> daily fixing rates on </w:t>
      </w:r>
      <w:r w:rsidR="00E77496">
        <w:rPr>
          <w:rFonts w:ascii="Arial" w:hAnsi="Arial" w:cs="Arial"/>
          <w:color w:val="000000" w:themeColor="text1"/>
        </w:rPr>
        <w:t>our</w:t>
      </w:r>
      <w:r w:rsidR="00B22D67">
        <w:rPr>
          <w:rFonts w:ascii="Arial" w:hAnsi="Arial" w:cs="Arial"/>
          <w:color w:val="000000" w:themeColor="text1"/>
        </w:rPr>
        <w:t xml:space="preserve"> homepage (</w:t>
      </w:r>
      <w:hyperlink r:id="rId9" w:history="1">
        <w:r w:rsidR="00B22D67" w:rsidRPr="00E051DA">
          <w:rPr>
            <w:rStyle w:val="Hyperlink"/>
            <w:rFonts w:ascii="Arial" w:hAnsi="Arial" w:cs="Arial"/>
          </w:rPr>
          <w:t>www.db.com/hungary</w:t>
        </w:r>
      </w:hyperlink>
      <w:r w:rsidR="00B22D67">
        <w:rPr>
          <w:rFonts w:ascii="Arial" w:hAnsi="Arial" w:cs="Arial"/>
          <w:color w:val="000000" w:themeColor="text1"/>
        </w:rPr>
        <w:t xml:space="preserve">) and </w:t>
      </w:r>
      <w:r w:rsidR="00FD1EE7">
        <w:rPr>
          <w:rFonts w:ascii="Arial" w:hAnsi="Arial" w:cs="Arial"/>
          <w:color w:val="000000" w:themeColor="text1"/>
        </w:rPr>
        <w:t xml:space="preserve">the rates </w:t>
      </w:r>
      <w:r w:rsidR="00364548">
        <w:rPr>
          <w:rFonts w:ascii="Arial" w:hAnsi="Arial" w:cs="Arial"/>
          <w:color w:val="000000" w:themeColor="text1"/>
        </w:rPr>
        <w:t>are also</w:t>
      </w:r>
      <w:r w:rsidR="00FD1EE7">
        <w:rPr>
          <w:rFonts w:ascii="Arial" w:hAnsi="Arial" w:cs="Arial"/>
          <w:color w:val="000000" w:themeColor="text1"/>
        </w:rPr>
        <w:t xml:space="preserve"> available via </w:t>
      </w:r>
      <w:r w:rsidR="00E77496">
        <w:rPr>
          <w:rFonts w:ascii="Arial" w:hAnsi="Arial" w:cs="Arial"/>
          <w:color w:val="000000" w:themeColor="text1"/>
        </w:rPr>
        <w:t>our</w:t>
      </w:r>
      <w:r w:rsidR="00FD1EE7">
        <w:rPr>
          <w:rFonts w:ascii="Arial" w:hAnsi="Arial" w:cs="Arial"/>
          <w:color w:val="000000" w:themeColor="text1"/>
        </w:rPr>
        <w:t xml:space="preserve"> electronic banking system (db-direct@internet)</w:t>
      </w:r>
      <w:r w:rsidR="005F0012">
        <w:rPr>
          <w:rFonts w:ascii="Arial" w:hAnsi="Arial" w:cs="Arial"/>
          <w:color w:val="000000" w:themeColor="text1"/>
        </w:rPr>
        <w:t>.</w:t>
      </w:r>
    </w:p>
    <w:p w:rsidR="00D67A98" w:rsidRPr="0029789A" w:rsidRDefault="00D67A98" w:rsidP="0029789A">
      <w:pPr>
        <w:spacing w:after="120"/>
        <w:ind w:right="380"/>
        <w:rPr>
          <w:rFonts w:ascii="Arial" w:hAnsi="Arial" w:cs="Arial"/>
          <w:color w:val="000000" w:themeColor="text1"/>
        </w:rPr>
      </w:pPr>
      <w:r w:rsidRPr="0029789A">
        <w:rPr>
          <w:rFonts w:ascii="Arial" w:hAnsi="Arial" w:cs="Arial"/>
          <w:color w:val="000000" w:themeColor="text1"/>
        </w:rPr>
        <w:t>Deutsche Bank AG Hungary Branch introduces 4</w:t>
      </w:r>
      <w:r w:rsidRPr="0029789A">
        <w:rPr>
          <w:rFonts w:ascii="Arial" w:hAnsi="Arial" w:cs="Arial"/>
          <w:color w:val="000000" w:themeColor="text1"/>
          <w:vertAlign w:val="superscript"/>
        </w:rPr>
        <w:t>th</w:t>
      </w:r>
      <w:r w:rsidRPr="0029789A">
        <w:rPr>
          <w:rFonts w:ascii="Arial" w:hAnsi="Arial" w:cs="Arial"/>
          <w:color w:val="000000" w:themeColor="text1"/>
        </w:rPr>
        <w:t xml:space="preserve"> fixing rate as of 1</w:t>
      </w:r>
      <w:r w:rsidRPr="0029789A">
        <w:rPr>
          <w:rFonts w:ascii="Arial" w:hAnsi="Arial" w:cs="Arial"/>
          <w:color w:val="000000" w:themeColor="text1"/>
          <w:vertAlign w:val="superscript"/>
        </w:rPr>
        <w:t>st</w:t>
      </w:r>
      <w:r w:rsidRPr="0029789A">
        <w:rPr>
          <w:rFonts w:ascii="Arial" w:hAnsi="Arial" w:cs="Arial"/>
          <w:color w:val="000000" w:themeColor="text1"/>
        </w:rPr>
        <w:t xml:space="preserve"> of April, 2017.</w:t>
      </w:r>
      <w:r w:rsidRPr="0029789A">
        <w:rPr>
          <w:rFonts w:ascii="Arial" w:hAnsi="Arial" w:cs="Arial"/>
        </w:rPr>
        <w:t xml:space="preserve"> Payment orders  requiring foreign exchange conversion up to EUR 100,000 (or equivalent) will be converted  (provided submitted on a properly completed payment order form)</w:t>
      </w:r>
    </w:p>
    <w:p w:rsidR="00D67A98" w:rsidRPr="00D22CE0" w:rsidRDefault="00D67A98" w:rsidP="00D67A98">
      <w:pPr>
        <w:pStyle w:val="ISOText"/>
        <w:spacing w:before="60"/>
        <w:rPr>
          <w:rFonts w:cs="Arial"/>
          <w:sz w:val="20"/>
          <w:lang w:val="en-GB"/>
        </w:rPr>
      </w:pPr>
      <w:r w:rsidRPr="00D22CE0">
        <w:rPr>
          <w:rFonts w:cs="Arial"/>
          <w:sz w:val="20"/>
          <w:lang w:val="en-GB"/>
        </w:rPr>
        <w:t>- at the Bank's fixing rate nr. 2, if arrived at the Bank until 11:30 a.m.</w:t>
      </w:r>
      <w:r w:rsidR="008F17F7">
        <w:rPr>
          <w:rFonts w:cs="Arial"/>
          <w:sz w:val="20"/>
          <w:lang w:val="en-GB"/>
        </w:rPr>
        <w:t xml:space="preserve"> CET</w:t>
      </w:r>
      <w:r w:rsidRPr="00D22CE0">
        <w:rPr>
          <w:rFonts w:cs="Arial"/>
          <w:sz w:val="20"/>
          <w:lang w:val="en-GB"/>
        </w:rPr>
        <w:t>,</w:t>
      </w:r>
    </w:p>
    <w:p w:rsidR="00D67A98" w:rsidRPr="00D22CE0" w:rsidRDefault="00D67A98" w:rsidP="00D67A98">
      <w:pPr>
        <w:pStyle w:val="ISOText"/>
        <w:spacing w:before="60"/>
        <w:rPr>
          <w:rFonts w:cs="Arial"/>
          <w:sz w:val="20"/>
          <w:lang w:val="en-GB"/>
        </w:rPr>
      </w:pPr>
      <w:r w:rsidRPr="00D22CE0">
        <w:rPr>
          <w:rFonts w:cs="Arial"/>
          <w:sz w:val="20"/>
          <w:lang w:val="en-GB"/>
        </w:rPr>
        <w:t xml:space="preserve">- at the Bank's fixing rate nr. 3, if arrived at the Bank between 11:30 a.m. and 3:30 p.m. </w:t>
      </w:r>
      <w:r w:rsidR="008F17F7">
        <w:rPr>
          <w:rFonts w:cs="Arial"/>
          <w:sz w:val="20"/>
          <w:lang w:val="en-GB"/>
        </w:rPr>
        <w:t xml:space="preserve">CET </w:t>
      </w:r>
      <w:r w:rsidRPr="00D22CE0">
        <w:rPr>
          <w:rFonts w:cs="Arial"/>
          <w:sz w:val="20"/>
          <w:lang w:val="en-GB"/>
        </w:rPr>
        <w:t>and</w:t>
      </w:r>
    </w:p>
    <w:p w:rsidR="005F0012" w:rsidRPr="00D67A98" w:rsidRDefault="00D67A98" w:rsidP="00D67A98">
      <w:pPr>
        <w:spacing w:after="120"/>
        <w:ind w:right="380"/>
        <w:rPr>
          <w:rFonts w:ascii="Arial" w:hAnsi="Arial" w:cs="Arial"/>
          <w:color w:val="000000" w:themeColor="text1"/>
        </w:rPr>
      </w:pPr>
      <w:r w:rsidRPr="00D22CE0">
        <w:rPr>
          <w:rFonts w:ascii="Arial" w:hAnsi="Arial" w:cs="Arial"/>
        </w:rPr>
        <w:t>- at the Bank’s fixing rate nr. 4, if arrived at the Bank between 3:30 p.m. and 5:00 p.m. CET.</w:t>
      </w:r>
    </w:p>
    <w:p w:rsidR="00332C7C" w:rsidRPr="00D22CE0" w:rsidRDefault="00806C62" w:rsidP="00286620">
      <w:pPr>
        <w:spacing w:after="120"/>
        <w:ind w:right="380"/>
        <w:rPr>
          <w:rFonts w:ascii="Arial" w:hAnsi="Arial" w:cs="Arial"/>
          <w:color w:val="000000" w:themeColor="text1"/>
          <w:lang w:val="hu-HU"/>
        </w:rPr>
      </w:pPr>
      <w:r>
        <w:rPr>
          <w:rFonts w:ascii="Arial" w:hAnsi="Arial" w:cs="Arial"/>
          <w:color w:val="000000" w:themeColor="text1"/>
          <w:lang w:val="hu-HU"/>
        </w:rPr>
        <w:t>In case of international</w:t>
      </w:r>
      <w:r w:rsidR="00332C7C">
        <w:rPr>
          <w:rFonts w:ascii="Arial" w:hAnsi="Arial" w:cs="Arial"/>
          <w:color w:val="000000" w:themeColor="text1"/>
          <w:lang w:val="hu-HU"/>
        </w:rPr>
        <w:t xml:space="preserve"> payments in HUF initiated via electronic way we transfer the amount of the payment with </w:t>
      </w:r>
      <w:r>
        <w:rPr>
          <w:rFonts w:ascii="Arial" w:hAnsi="Arial" w:cs="Arial"/>
          <w:color w:val="000000" w:themeColor="text1"/>
          <w:lang w:val="hu-HU"/>
        </w:rPr>
        <w:t>same day value to the beneficiary bank. The exact time when the beneficiary’s bank actually credits the beneficiary’s account is determined by the processing procedures and cut-off times at the beneficiary bank.</w:t>
      </w:r>
    </w:p>
    <w:p w:rsidR="005F0012" w:rsidRDefault="005F0012" w:rsidP="00286620">
      <w:pPr>
        <w:spacing w:after="120"/>
        <w:ind w:right="38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Currency exchange at our cashier desk will be discontinued in the following </w:t>
      </w:r>
      <w:r w:rsidR="00DF3112">
        <w:rPr>
          <w:rFonts w:ascii="Arial" w:hAnsi="Arial" w:cs="Arial"/>
          <w:color w:val="000000" w:themeColor="text1"/>
        </w:rPr>
        <w:t>currencies from</w:t>
      </w:r>
      <w:r>
        <w:rPr>
          <w:rFonts w:ascii="Arial" w:hAnsi="Arial" w:cs="Arial"/>
          <w:color w:val="000000" w:themeColor="text1"/>
        </w:rPr>
        <w:t xml:space="preserve"> 1</w:t>
      </w:r>
      <w:r w:rsidRPr="00D22CE0">
        <w:rPr>
          <w:rFonts w:ascii="Arial" w:hAnsi="Arial" w:cs="Arial"/>
          <w:color w:val="000000" w:themeColor="text1"/>
          <w:vertAlign w:val="superscript"/>
        </w:rPr>
        <w:t>st</w:t>
      </w:r>
      <w:r>
        <w:rPr>
          <w:rFonts w:ascii="Arial" w:hAnsi="Arial" w:cs="Arial"/>
          <w:color w:val="000000" w:themeColor="text1"/>
        </w:rPr>
        <w:t xml:space="preserve"> of April, 2017: </w:t>
      </w:r>
      <w:r>
        <w:rPr>
          <w:rFonts w:ascii="Arial" w:hAnsi="Arial"/>
          <w:color w:val="000000" w:themeColor="text1"/>
          <w:lang w:val="hu-HU"/>
        </w:rPr>
        <w:t>DKK, AUD, CAD, PLN, SEK and CZK.</w:t>
      </w:r>
    </w:p>
    <w:p w:rsidR="00386BC7" w:rsidRPr="00386BC7" w:rsidRDefault="005F0012" w:rsidP="00286620">
      <w:pPr>
        <w:spacing w:after="120"/>
        <w:ind w:right="380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Th</w:t>
      </w:r>
      <w:r w:rsidR="00286620" w:rsidRPr="00386BC7">
        <w:rPr>
          <w:rFonts w:ascii="Arial" w:hAnsi="Arial" w:cs="Arial"/>
          <w:color w:val="000000" w:themeColor="text1"/>
        </w:rPr>
        <w:t xml:space="preserve">e modified </w:t>
      </w:r>
      <w:r w:rsidR="00E024E2" w:rsidRPr="00386BC7">
        <w:rPr>
          <w:rFonts w:ascii="Arial" w:hAnsi="Arial" w:cs="Arial"/>
          <w:color w:val="000000" w:themeColor="text1"/>
        </w:rPr>
        <w:t xml:space="preserve">List of Terms and Conditions for Corporate Banking </w:t>
      </w:r>
      <w:r w:rsidR="00286620" w:rsidRPr="00386BC7">
        <w:rPr>
          <w:rFonts w:ascii="Arial" w:hAnsi="Arial" w:cs="Arial"/>
          <w:color w:val="000000" w:themeColor="text1"/>
        </w:rPr>
        <w:t>are published in the Bank’s Cashier Room</w:t>
      </w:r>
      <w:r w:rsidR="00B41A59">
        <w:rPr>
          <w:rFonts w:ascii="Arial" w:hAnsi="Arial" w:cs="Arial"/>
          <w:color w:val="000000" w:themeColor="text1"/>
        </w:rPr>
        <w:t xml:space="preserve"> and on its website</w:t>
      </w:r>
      <w:r w:rsidR="00286620" w:rsidRPr="00386BC7">
        <w:rPr>
          <w:rFonts w:ascii="Arial" w:hAnsi="Arial" w:cs="Arial"/>
          <w:color w:val="000000" w:themeColor="text1"/>
        </w:rPr>
        <w:t xml:space="preserve">. </w:t>
      </w:r>
    </w:p>
    <w:p w:rsidR="003E4D11" w:rsidRDefault="003E4D11" w:rsidP="00CF7D8C">
      <w:pPr>
        <w:widowControl/>
        <w:autoSpaceDE w:val="0"/>
        <w:autoSpaceDN w:val="0"/>
        <w:spacing w:after="240" w:line="240" w:lineRule="auto"/>
        <w:jc w:val="left"/>
        <w:textAlignment w:val="auto"/>
        <w:rPr>
          <w:rFonts w:ascii="Arial" w:eastAsia="MS Mincho" w:hAnsi="Arial" w:cs="Arial"/>
          <w:color w:val="000000" w:themeColor="text1"/>
          <w:lang w:eastAsia="ja-JP"/>
        </w:rPr>
      </w:pPr>
    </w:p>
    <w:p w:rsidR="00CF7D8C" w:rsidRDefault="00CF7D8C" w:rsidP="00CF7D8C">
      <w:pPr>
        <w:widowControl/>
        <w:autoSpaceDE w:val="0"/>
        <w:autoSpaceDN w:val="0"/>
        <w:spacing w:after="240" w:line="240" w:lineRule="auto"/>
        <w:jc w:val="left"/>
        <w:textAlignment w:val="auto"/>
        <w:rPr>
          <w:rFonts w:ascii="Arial" w:eastAsia="MS Mincho" w:hAnsi="Arial" w:cs="Arial"/>
          <w:color w:val="000000" w:themeColor="text1"/>
          <w:lang w:eastAsia="ja-JP"/>
        </w:rPr>
      </w:pPr>
      <w:r w:rsidRPr="00386BC7">
        <w:rPr>
          <w:rFonts w:ascii="Arial" w:eastAsia="MS Mincho" w:hAnsi="Arial" w:cs="Arial"/>
          <w:color w:val="000000" w:themeColor="text1"/>
          <w:lang w:eastAsia="ja-JP"/>
        </w:rPr>
        <w:t xml:space="preserve">Budapest, </w:t>
      </w:r>
      <w:r w:rsidR="00A84E56">
        <w:rPr>
          <w:rFonts w:ascii="Arial" w:eastAsia="MS Mincho" w:hAnsi="Arial" w:cs="Arial"/>
          <w:color w:val="000000" w:themeColor="text1"/>
          <w:lang w:eastAsia="ja-JP"/>
        </w:rPr>
        <w:t>March</w:t>
      </w:r>
      <w:r w:rsidR="007C06E5" w:rsidRPr="00386BC7">
        <w:rPr>
          <w:rFonts w:ascii="Arial" w:eastAsia="MS Mincho" w:hAnsi="Arial" w:cs="Arial"/>
          <w:color w:val="000000" w:themeColor="text1"/>
          <w:lang w:eastAsia="ja-JP"/>
        </w:rPr>
        <w:t xml:space="preserve"> </w:t>
      </w:r>
      <w:r w:rsidR="00A71A0B" w:rsidRPr="00386BC7">
        <w:rPr>
          <w:rFonts w:ascii="Arial" w:eastAsia="MS Mincho" w:hAnsi="Arial" w:cs="Arial"/>
          <w:color w:val="000000" w:themeColor="text1"/>
          <w:lang w:eastAsia="ja-JP"/>
        </w:rPr>
        <w:t>1</w:t>
      </w:r>
      <w:r w:rsidR="00E024E2" w:rsidRPr="00386BC7">
        <w:rPr>
          <w:rFonts w:ascii="Arial" w:eastAsia="MS Mincho" w:hAnsi="Arial" w:cs="Arial"/>
          <w:color w:val="000000" w:themeColor="text1"/>
          <w:vertAlign w:val="superscript"/>
          <w:lang w:eastAsia="ja-JP"/>
        </w:rPr>
        <w:t>st</w:t>
      </w:r>
      <w:r w:rsidR="002E72CF" w:rsidRPr="00386BC7">
        <w:rPr>
          <w:rFonts w:ascii="Arial" w:eastAsia="MS Mincho" w:hAnsi="Arial" w:cs="Arial"/>
          <w:color w:val="000000" w:themeColor="text1"/>
          <w:lang w:eastAsia="ja-JP"/>
        </w:rPr>
        <w:t>,</w:t>
      </w:r>
      <w:r w:rsidR="00055707" w:rsidRPr="00386BC7">
        <w:rPr>
          <w:rFonts w:ascii="Arial" w:eastAsia="MS Mincho" w:hAnsi="Arial" w:cs="Arial"/>
          <w:color w:val="000000" w:themeColor="text1"/>
          <w:lang w:eastAsia="ja-JP"/>
        </w:rPr>
        <w:t xml:space="preserve"> </w:t>
      </w:r>
      <w:r w:rsidR="00256B19" w:rsidRPr="00386BC7">
        <w:rPr>
          <w:rFonts w:ascii="Arial" w:eastAsia="MS Mincho" w:hAnsi="Arial" w:cs="Arial"/>
          <w:color w:val="000000" w:themeColor="text1"/>
          <w:lang w:eastAsia="ja-JP"/>
        </w:rPr>
        <w:t>201</w:t>
      </w:r>
      <w:r w:rsidR="007C06E5">
        <w:rPr>
          <w:rFonts w:ascii="Arial" w:eastAsia="MS Mincho" w:hAnsi="Arial" w:cs="Arial"/>
          <w:color w:val="000000" w:themeColor="text1"/>
          <w:lang w:eastAsia="ja-JP"/>
        </w:rPr>
        <w:t>7</w:t>
      </w:r>
    </w:p>
    <w:p w:rsidR="00487158" w:rsidRDefault="00487158" w:rsidP="00CF7D8C">
      <w:pPr>
        <w:widowControl/>
        <w:autoSpaceDE w:val="0"/>
        <w:autoSpaceDN w:val="0"/>
        <w:spacing w:after="240" w:line="240" w:lineRule="auto"/>
        <w:jc w:val="left"/>
        <w:textAlignment w:val="auto"/>
        <w:rPr>
          <w:rFonts w:ascii="Arial" w:eastAsia="MS Mincho" w:hAnsi="Arial" w:cs="Arial"/>
          <w:color w:val="000000" w:themeColor="text1"/>
          <w:lang w:eastAsia="ja-JP"/>
        </w:rPr>
      </w:pPr>
    </w:p>
    <w:p w:rsidR="00487158" w:rsidRDefault="00487158" w:rsidP="00CF7D8C">
      <w:pPr>
        <w:widowControl/>
        <w:autoSpaceDE w:val="0"/>
        <w:autoSpaceDN w:val="0"/>
        <w:spacing w:after="240" w:line="240" w:lineRule="auto"/>
        <w:jc w:val="left"/>
        <w:textAlignment w:val="auto"/>
        <w:rPr>
          <w:rFonts w:ascii="Arial" w:eastAsia="MS Mincho" w:hAnsi="Arial" w:cs="Arial"/>
          <w:color w:val="000000" w:themeColor="text1"/>
          <w:lang w:eastAsia="ja-JP"/>
        </w:rPr>
      </w:pPr>
      <w:r>
        <w:rPr>
          <w:rFonts w:ascii="Arial" w:eastAsia="MS Mincho" w:hAnsi="Arial" w:cs="Arial"/>
          <w:color w:val="000000" w:themeColor="text1"/>
          <w:lang w:eastAsia="ja-JP"/>
        </w:rPr>
        <w:t>Yours sincerely,</w:t>
      </w:r>
    </w:p>
    <w:p w:rsidR="00E33F49" w:rsidRPr="00487158" w:rsidRDefault="00055707" w:rsidP="00487158">
      <w:pPr>
        <w:widowControl/>
        <w:autoSpaceDE w:val="0"/>
        <w:autoSpaceDN w:val="0"/>
        <w:spacing w:line="240" w:lineRule="auto"/>
        <w:textAlignment w:val="auto"/>
        <w:rPr>
          <w:rFonts w:ascii="Arial" w:eastAsia="MS Mincho" w:hAnsi="Arial" w:cs="Arial"/>
          <w:color w:val="000000" w:themeColor="text1"/>
          <w:lang w:val="en-US" w:eastAsia="ja-JP"/>
        </w:rPr>
      </w:pPr>
      <w:r w:rsidRPr="00487158">
        <w:rPr>
          <w:rFonts w:ascii="Arial" w:eastAsia="MS Mincho" w:hAnsi="Arial" w:cs="Arial"/>
          <w:color w:val="000000" w:themeColor="text1"/>
          <w:lang w:val="en-US" w:eastAsia="ja-JP"/>
        </w:rPr>
        <w:t>Deu</w:t>
      </w:r>
      <w:r w:rsidR="00AF5678" w:rsidRPr="00487158">
        <w:rPr>
          <w:rFonts w:ascii="Arial" w:eastAsia="MS Mincho" w:hAnsi="Arial" w:cs="Arial"/>
          <w:color w:val="000000" w:themeColor="text1"/>
          <w:lang w:val="en-US" w:eastAsia="ja-JP"/>
        </w:rPr>
        <w:t xml:space="preserve">tsche Bank </w:t>
      </w:r>
      <w:r w:rsidR="009728A4" w:rsidRPr="00487158">
        <w:rPr>
          <w:rFonts w:ascii="Arial" w:eastAsia="MS Mincho" w:hAnsi="Arial" w:cs="Arial"/>
          <w:color w:val="000000" w:themeColor="text1"/>
          <w:lang w:val="en-US" w:eastAsia="ja-JP"/>
        </w:rPr>
        <w:t>AG</w:t>
      </w:r>
      <w:r w:rsidR="00AF5678" w:rsidRPr="00487158">
        <w:rPr>
          <w:rFonts w:ascii="Arial" w:eastAsia="MS Mincho" w:hAnsi="Arial" w:cs="Arial"/>
          <w:color w:val="000000" w:themeColor="text1"/>
          <w:lang w:val="en-US" w:eastAsia="ja-JP"/>
        </w:rPr>
        <w:t xml:space="preserve"> Hungary B</w:t>
      </w:r>
      <w:r w:rsidRPr="00487158">
        <w:rPr>
          <w:rFonts w:ascii="Arial" w:eastAsia="MS Mincho" w:hAnsi="Arial" w:cs="Arial"/>
          <w:color w:val="000000" w:themeColor="text1"/>
          <w:lang w:val="en-US" w:eastAsia="ja-JP"/>
        </w:rPr>
        <w:t>ranch</w:t>
      </w:r>
    </w:p>
    <w:sectPr w:rsidR="00E33F49" w:rsidRPr="00487158" w:rsidSect="007121D9">
      <w:pgSz w:w="11907" w:h="16840"/>
      <w:pgMar w:top="567" w:right="851" w:bottom="567" w:left="1304" w:header="720" w:footer="720" w:gutter="0"/>
      <w:paperSrc w:first="1" w:other="1"/>
      <w:cols w:space="5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5B1" w:rsidRDefault="00F835B1" w:rsidP="00CA5619">
      <w:pPr>
        <w:spacing w:line="240" w:lineRule="auto"/>
      </w:pPr>
      <w:r>
        <w:separator/>
      </w:r>
    </w:p>
  </w:endnote>
  <w:endnote w:type="continuationSeparator" w:id="0">
    <w:p w:rsidR="00F835B1" w:rsidRDefault="00F835B1" w:rsidP="00CA56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5B1" w:rsidRDefault="00F835B1" w:rsidP="00CA5619">
      <w:pPr>
        <w:spacing w:line="240" w:lineRule="auto"/>
      </w:pPr>
      <w:r>
        <w:separator/>
      </w:r>
    </w:p>
  </w:footnote>
  <w:footnote w:type="continuationSeparator" w:id="0">
    <w:p w:rsidR="00F835B1" w:rsidRDefault="00F835B1" w:rsidP="00CA561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D56"/>
    <w:rsid w:val="00003D09"/>
    <w:rsid w:val="0002552E"/>
    <w:rsid w:val="0004121A"/>
    <w:rsid w:val="000530A4"/>
    <w:rsid w:val="00055707"/>
    <w:rsid w:val="00096BA9"/>
    <w:rsid w:val="000B71E4"/>
    <w:rsid w:val="000D7205"/>
    <w:rsid w:val="000E262F"/>
    <w:rsid w:val="000F5D89"/>
    <w:rsid w:val="00121D56"/>
    <w:rsid w:val="00124622"/>
    <w:rsid w:val="00156A23"/>
    <w:rsid w:val="001615EE"/>
    <w:rsid w:val="00184705"/>
    <w:rsid w:val="00192442"/>
    <w:rsid w:val="00195057"/>
    <w:rsid w:val="001D277B"/>
    <w:rsid w:val="001D4E7E"/>
    <w:rsid w:val="001E7AB3"/>
    <w:rsid w:val="001F5117"/>
    <w:rsid w:val="00200712"/>
    <w:rsid w:val="002020E9"/>
    <w:rsid w:val="002262FB"/>
    <w:rsid w:val="00227695"/>
    <w:rsid w:val="00254400"/>
    <w:rsid w:val="00256B19"/>
    <w:rsid w:val="0026793D"/>
    <w:rsid w:val="002804C0"/>
    <w:rsid w:val="00286302"/>
    <w:rsid w:val="00286620"/>
    <w:rsid w:val="00291889"/>
    <w:rsid w:val="0029789A"/>
    <w:rsid w:val="002A0FF5"/>
    <w:rsid w:val="002E72CF"/>
    <w:rsid w:val="002F099E"/>
    <w:rsid w:val="002F2381"/>
    <w:rsid w:val="003024FC"/>
    <w:rsid w:val="0032123F"/>
    <w:rsid w:val="003214DC"/>
    <w:rsid w:val="003244F9"/>
    <w:rsid w:val="00332C7C"/>
    <w:rsid w:val="00336B89"/>
    <w:rsid w:val="00361A23"/>
    <w:rsid w:val="00364548"/>
    <w:rsid w:val="00366296"/>
    <w:rsid w:val="00386BC7"/>
    <w:rsid w:val="00392979"/>
    <w:rsid w:val="0039492C"/>
    <w:rsid w:val="00394D0B"/>
    <w:rsid w:val="003D0C01"/>
    <w:rsid w:val="003E4D11"/>
    <w:rsid w:val="003E5126"/>
    <w:rsid w:val="003F0428"/>
    <w:rsid w:val="00410C17"/>
    <w:rsid w:val="00412391"/>
    <w:rsid w:val="00424C68"/>
    <w:rsid w:val="00432B2F"/>
    <w:rsid w:val="00434452"/>
    <w:rsid w:val="00457403"/>
    <w:rsid w:val="00462A88"/>
    <w:rsid w:val="00464330"/>
    <w:rsid w:val="00470B79"/>
    <w:rsid w:val="00487158"/>
    <w:rsid w:val="00495EA1"/>
    <w:rsid w:val="004A6B25"/>
    <w:rsid w:val="004B33CC"/>
    <w:rsid w:val="004F6206"/>
    <w:rsid w:val="004F6C08"/>
    <w:rsid w:val="00515E74"/>
    <w:rsid w:val="00523058"/>
    <w:rsid w:val="0055140A"/>
    <w:rsid w:val="00561CAB"/>
    <w:rsid w:val="00561DC7"/>
    <w:rsid w:val="005814C3"/>
    <w:rsid w:val="005849CC"/>
    <w:rsid w:val="005A47C7"/>
    <w:rsid w:val="005A53CA"/>
    <w:rsid w:val="005B7828"/>
    <w:rsid w:val="005F0012"/>
    <w:rsid w:val="006A0A02"/>
    <w:rsid w:val="006A3B3C"/>
    <w:rsid w:val="006B7391"/>
    <w:rsid w:val="006E5DBB"/>
    <w:rsid w:val="006F554A"/>
    <w:rsid w:val="00702897"/>
    <w:rsid w:val="00705B3F"/>
    <w:rsid w:val="007121D9"/>
    <w:rsid w:val="00734A5D"/>
    <w:rsid w:val="0076482F"/>
    <w:rsid w:val="00764B51"/>
    <w:rsid w:val="007718C1"/>
    <w:rsid w:val="0077420A"/>
    <w:rsid w:val="007B52E0"/>
    <w:rsid w:val="007C06E5"/>
    <w:rsid w:val="007C54FF"/>
    <w:rsid w:val="00806C62"/>
    <w:rsid w:val="00823098"/>
    <w:rsid w:val="00844CAD"/>
    <w:rsid w:val="0085535F"/>
    <w:rsid w:val="00865F1B"/>
    <w:rsid w:val="0087012F"/>
    <w:rsid w:val="00884491"/>
    <w:rsid w:val="008A04AA"/>
    <w:rsid w:val="008A6679"/>
    <w:rsid w:val="008D5988"/>
    <w:rsid w:val="008F17F7"/>
    <w:rsid w:val="008F2752"/>
    <w:rsid w:val="0091624D"/>
    <w:rsid w:val="0092011B"/>
    <w:rsid w:val="00924BFA"/>
    <w:rsid w:val="00932C82"/>
    <w:rsid w:val="009403D4"/>
    <w:rsid w:val="009728A4"/>
    <w:rsid w:val="009A268B"/>
    <w:rsid w:val="009A31E3"/>
    <w:rsid w:val="009A4AD3"/>
    <w:rsid w:val="00A17F7A"/>
    <w:rsid w:val="00A21CA4"/>
    <w:rsid w:val="00A33008"/>
    <w:rsid w:val="00A443CE"/>
    <w:rsid w:val="00A53035"/>
    <w:rsid w:val="00A56FD1"/>
    <w:rsid w:val="00A71A0B"/>
    <w:rsid w:val="00A74AAD"/>
    <w:rsid w:val="00A84E56"/>
    <w:rsid w:val="00AB5ACE"/>
    <w:rsid w:val="00AB5D8C"/>
    <w:rsid w:val="00AC3FAB"/>
    <w:rsid w:val="00AD34B5"/>
    <w:rsid w:val="00AE02F6"/>
    <w:rsid w:val="00AE4EE6"/>
    <w:rsid w:val="00AF5678"/>
    <w:rsid w:val="00B029E6"/>
    <w:rsid w:val="00B22D67"/>
    <w:rsid w:val="00B3430B"/>
    <w:rsid w:val="00B41A59"/>
    <w:rsid w:val="00B60583"/>
    <w:rsid w:val="00B67F1B"/>
    <w:rsid w:val="00B74C80"/>
    <w:rsid w:val="00B7511C"/>
    <w:rsid w:val="00B828E2"/>
    <w:rsid w:val="00B84DC2"/>
    <w:rsid w:val="00B91A5E"/>
    <w:rsid w:val="00B92022"/>
    <w:rsid w:val="00B92420"/>
    <w:rsid w:val="00B9280C"/>
    <w:rsid w:val="00B9313E"/>
    <w:rsid w:val="00BA138A"/>
    <w:rsid w:val="00BA3600"/>
    <w:rsid w:val="00BB1033"/>
    <w:rsid w:val="00C02755"/>
    <w:rsid w:val="00C15348"/>
    <w:rsid w:val="00C23D78"/>
    <w:rsid w:val="00C72312"/>
    <w:rsid w:val="00C81DF0"/>
    <w:rsid w:val="00C82FCF"/>
    <w:rsid w:val="00C95A80"/>
    <w:rsid w:val="00CA1B83"/>
    <w:rsid w:val="00CA5619"/>
    <w:rsid w:val="00CA6126"/>
    <w:rsid w:val="00CC1D80"/>
    <w:rsid w:val="00CD4190"/>
    <w:rsid w:val="00CF7D8C"/>
    <w:rsid w:val="00D05D56"/>
    <w:rsid w:val="00D22CE0"/>
    <w:rsid w:val="00D345EA"/>
    <w:rsid w:val="00D56B19"/>
    <w:rsid w:val="00D67A98"/>
    <w:rsid w:val="00D72B48"/>
    <w:rsid w:val="00D827DF"/>
    <w:rsid w:val="00D85CD1"/>
    <w:rsid w:val="00D865CB"/>
    <w:rsid w:val="00DB49BA"/>
    <w:rsid w:val="00DC1E09"/>
    <w:rsid w:val="00DE3724"/>
    <w:rsid w:val="00DE664D"/>
    <w:rsid w:val="00DF3112"/>
    <w:rsid w:val="00E01F14"/>
    <w:rsid w:val="00E024E2"/>
    <w:rsid w:val="00E12EFD"/>
    <w:rsid w:val="00E318F0"/>
    <w:rsid w:val="00E33F49"/>
    <w:rsid w:val="00E4443A"/>
    <w:rsid w:val="00E470E1"/>
    <w:rsid w:val="00E75568"/>
    <w:rsid w:val="00E77496"/>
    <w:rsid w:val="00EA1DB3"/>
    <w:rsid w:val="00EE5B21"/>
    <w:rsid w:val="00EF206C"/>
    <w:rsid w:val="00F14484"/>
    <w:rsid w:val="00F27FE9"/>
    <w:rsid w:val="00F429AA"/>
    <w:rsid w:val="00F53B08"/>
    <w:rsid w:val="00F835B1"/>
    <w:rsid w:val="00F95ED9"/>
    <w:rsid w:val="00FB058C"/>
    <w:rsid w:val="00FD1EE7"/>
    <w:rsid w:val="00FE3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49CB209-150C-42EF-984F-BF708D536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1D9"/>
    <w:pPr>
      <w:widowControl w:val="0"/>
      <w:adjustRightInd w:val="0"/>
      <w:spacing w:line="360" w:lineRule="atLeast"/>
      <w:jc w:val="both"/>
      <w:textAlignment w:val="baseline"/>
    </w:pPr>
    <w:rPr>
      <w:lang w:val="en-GB" w:eastAsia="zh-CN"/>
    </w:rPr>
  </w:style>
  <w:style w:type="paragraph" w:styleId="Heading1">
    <w:name w:val="heading 1"/>
    <w:basedOn w:val="Normal"/>
    <w:next w:val="Normal"/>
    <w:qFormat/>
    <w:rsid w:val="007121D9"/>
    <w:pPr>
      <w:keepLines/>
      <w:spacing w:before="240" w:after="480"/>
      <w:outlineLvl w:val="0"/>
    </w:pPr>
    <w:rPr>
      <w:rFonts w:ascii="Univers (WN)" w:hAnsi="Univers (WN)"/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121D9"/>
    <w:rPr>
      <w:rFonts w:ascii="Arial" w:hAnsi="Arial"/>
      <w:sz w:val="24"/>
      <w:lang w:val="en-US"/>
    </w:rPr>
  </w:style>
  <w:style w:type="paragraph" w:styleId="BalloonText">
    <w:name w:val="Balloon Text"/>
    <w:basedOn w:val="Normal"/>
    <w:semiHidden/>
    <w:rsid w:val="00EE5B21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qFormat/>
    <w:rsid w:val="00286620"/>
    <w:rPr>
      <w:b/>
      <w:bCs/>
    </w:rPr>
  </w:style>
  <w:style w:type="paragraph" w:styleId="Header">
    <w:name w:val="header"/>
    <w:basedOn w:val="Normal"/>
    <w:link w:val="HeaderChar"/>
    <w:rsid w:val="00CA5619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CA5619"/>
    <w:rPr>
      <w:lang w:val="en-GB" w:eastAsia="zh-CN"/>
    </w:rPr>
  </w:style>
  <w:style w:type="paragraph" w:styleId="Footer">
    <w:name w:val="footer"/>
    <w:basedOn w:val="Normal"/>
    <w:link w:val="FooterChar"/>
    <w:rsid w:val="00CA5619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CA5619"/>
    <w:rPr>
      <w:lang w:val="en-GB" w:eastAsia="zh-CN"/>
    </w:rPr>
  </w:style>
  <w:style w:type="character" w:styleId="Hyperlink">
    <w:name w:val="Hyperlink"/>
    <w:basedOn w:val="DefaultParagraphFont"/>
    <w:rsid w:val="00B22D67"/>
    <w:rPr>
      <w:color w:val="0000FF" w:themeColor="hyperlink"/>
      <w:u w:val="single"/>
    </w:rPr>
  </w:style>
  <w:style w:type="paragraph" w:customStyle="1" w:styleId="ISOText">
    <w:name w:val="ISO Text"/>
    <w:basedOn w:val="FootnoteText"/>
    <w:rsid w:val="00A56FD1"/>
    <w:pPr>
      <w:widowControl/>
      <w:adjustRightInd/>
      <w:textAlignment w:val="auto"/>
    </w:pPr>
    <w:rPr>
      <w:rFonts w:ascii="Arial" w:hAnsi="Arial"/>
      <w:sz w:val="22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A56FD1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A56FD1"/>
    <w:rPr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b.com/hungary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db.com/hunga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E1841-6EEA-4D0A-AE38-1F5397C65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D8F1FE72</Template>
  <TotalTime>0</TotalTime>
  <Pages>2</Pages>
  <Words>484</Words>
  <Characters>2810</Characters>
  <Application>Microsoft Office Word</Application>
  <DocSecurity>0</DocSecurity>
  <Lines>56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Deutsche Bank AG</Company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Szuromi Ágnes</dc:creator>
  <cp:keywords>Public</cp:keywords>
  <cp:lastModifiedBy>Katalin Tornyai</cp:lastModifiedBy>
  <cp:revision>6</cp:revision>
  <cp:lastPrinted>2017-02-28T14:32:00Z</cp:lastPrinted>
  <dcterms:created xsi:type="dcterms:W3CDTF">2017-02-28T16:00:00Z</dcterms:created>
  <dcterms:modified xsi:type="dcterms:W3CDTF">2017-03-01T10:07:00Z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99e69d31-d1ef-449b-b59c-e54ac9ff91a6</vt:lpwstr>
  </property>
  <property fmtid="{D5CDD505-2E9C-101B-9397-08002B2CF9AE}" pid="3" name="db.comClassification">
    <vt:lpwstr>Public</vt:lpwstr>
  </property>
</Properties>
</file>